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BF1B" w14:textId="77777777" w:rsidR="00A11CDE" w:rsidRDefault="00000000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Informații post Asistent universitar pe perioadă determinată. pozitia 29</w:t>
      </w:r>
    </w:p>
    <w:tbl>
      <w:tblPr>
        <w:tblW w:w="4900" w:type="pct"/>
        <w:tblInd w:w="7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152"/>
        <w:gridCol w:w="5336"/>
      </w:tblGrid>
      <w:tr w:rsidR="00A11CDE" w14:paraId="3E97871F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51600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9B167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A11CDE" w14:paraId="52B571EE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278DC5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6B2C8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Facultatea de Științe Economice și Sociale</w:t>
            </w:r>
          </w:p>
        </w:tc>
      </w:tr>
      <w:tr w:rsidR="00A11CDE" w14:paraId="7CA0B57D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E0980C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35BD01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Departamentul de Științe Socio-Umane</w:t>
            </w:r>
          </w:p>
        </w:tc>
      </w:tr>
      <w:tr w:rsidR="00A11CDE" w14:paraId="4C464A9C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5F6C5B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CA0EC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29</w:t>
            </w:r>
          </w:p>
        </w:tc>
      </w:tr>
      <w:tr w:rsidR="00A11CDE" w14:paraId="1F8E9665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92A73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E4735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Asistent universitar pe perioadă determinată</w:t>
            </w:r>
          </w:p>
        </w:tc>
      </w:tr>
      <w:tr w:rsidR="00A11CDE" w14:paraId="32EBB0B4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C67E0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Disciplinele din planul de învățământ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99C549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Fundamentele pedagogiei (PIPP)</w:t>
            </w:r>
          </w:p>
          <w:p w14:paraId="3C322AE1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Teoria și metodologia instruirii (PIPP)</w:t>
            </w:r>
          </w:p>
          <w:p w14:paraId="6BA3DDC4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Teoria și metodologia evaluării (PIPP)</w:t>
            </w:r>
          </w:p>
          <w:p w14:paraId="087F94DA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Educaţie timpurie (PIPP)</w:t>
            </w:r>
          </w:p>
          <w:p w14:paraId="217E315C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Istoria ideilor / paradigmelor educaționale (PIPP)</w:t>
            </w:r>
          </w:p>
          <w:p w14:paraId="013858D0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Politici educaționale și sociale (PIPP)</w:t>
            </w:r>
          </w:p>
          <w:p w14:paraId="69B3D47D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hu-HU"/>
              </w:rPr>
              <w:t>Practică pedagogică I., II.,  III., IV. și VI. (PIPP)</w:t>
            </w:r>
          </w:p>
        </w:tc>
      </w:tr>
      <w:tr w:rsidR="00A11CDE" w14:paraId="24A49297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6C0E9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83641E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Ştiinţele ale educaţiei</w:t>
            </w:r>
          </w:p>
        </w:tc>
      </w:tr>
      <w:tr w:rsidR="00A11CDE" w14:paraId="7115EC86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86D77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AC5A6D" w14:textId="77777777" w:rsidR="00A11CDE" w:rsidRDefault="00000000">
            <w:pPr>
              <w:widowControl w:val="0"/>
              <w:spacing w:before="75" w:after="75"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Post vacant prevăzut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Statul de funcții al Departamentului de de Științe Socio-Umane din cadrul Facultății de Științe Economice și Sociale. Disciplinele aferente postului sunt cuprinse în planul de învățământ al programului de studii universitare de licență la specializarea Pedagogia 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învățământului primar și preșcolar,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totaliz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ând un număr de 12 ore convenționale pe săptămână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11CDE" w14:paraId="4738A928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FC437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775C7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Norma didactică: 12 ore/săptămână</w:t>
            </w:r>
          </w:p>
          <w:p w14:paraId="1B2E409E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1. Susţinerea orelor de seminar, în conformitate cu planul de învăţământ şi fişele disciplinelor.</w:t>
            </w:r>
          </w:p>
          <w:p w14:paraId="5871A166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2. Verificarea studenţilor pe parcurs şi evaluarea finală.</w:t>
            </w:r>
          </w:p>
          <w:p w14:paraId="1A49A225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3. Coordonarea unor lucrări ştiinţifice studenţeşti.</w:t>
            </w:r>
          </w:p>
          <w:p w14:paraId="15DE21FD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4. Participarea la activitatea de cercetare ştiinţifică a departamentului şi publicarea de lucrări ştiinţifice.</w:t>
            </w:r>
          </w:p>
          <w:p w14:paraId="05CA9166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5. Participarea directă la toate activităţile departamentului, ale facultăţii şi ale Universităţii.</w:t>
            </w:r>
          </w:p>
        </w:tc>
      </w:tr>
      <w:tr w:rsidR="00A11CDE" w14:paraId="09553A3F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E38B9" w14:textId="77777777" w:rsidR="00A11CDE" w:rsidRDefault="00000000">
            <w:pPr>
              <w:pStyle w:val="NormalWeb"/>
              <w:widowControl w:val="0"/>
              <w:spacing w:before="75" w:beforeAutospacing="0" w:after="75" w:afterAutospacing="0" w:line="0" w:lineRule="atLeast"/>
            </w:pPr>
            <w:r>
              <w:rPr>
                <w:b/>
                <w:bCs/>
                <w:color w:val="000000"/>
              </w:rPr>
              <w:t>Data susținerii lucrării practice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92FF34" w14:textId="77777777" w:rsidR="00A11CDE" w:rsidRDefault="00000000">
            <w:pPr>
              <w:pStyle w:val="NormalWeb"/>
              <w:widowControl w:val="0"/>
              <w:spacing w:before="75" w:beforeAutospacing="0" w:after="75" w:afterAutospacing="0" w:line="0" w:lineRule="atLeast"/>
            </w:pPr>
            <w:r>
              <w:rPr>
                <w:color w:val="000000"/>
              </w:rPr>
              <w:t>08.09.2022.</w:t>
            </w:r>
          </w:p>
        </w:tc>
      </w:tr>
      <w:tr w:rsidR="00A11CDE" w14:paraId="365A55C1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A839E3" w14:textId="77777777" w:rsidR="00A11CDE" w:rsidRDefault="00000000">
            <w:pPr>
              <w:pStyle w:val="NormalWeb"/>
              <w:widowControl w:val="0"/>
              <w:spacing w:before="75" w:beforeAutospacing="0" w:after="75" w:afterAutospacing="0" w:line="0" w:lineRule="atLeast"/>
            </w:pPr>
            <w:r>
              <w:rPr>
                <w:b/>
                <w:bCs/>
                <w:color w:val="000000"/>
              </w:rPr>
              <w:t>Ora susținerii lucrării practice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17961" w14:textId="35F6EEA0" w:rsidR="00A11CDE" w:rsidRDefault="00000000">
            <w:pPr>
              <w:pStyle w:val="NormalWeb"/>
              <w:widowControl w:val="0"/>
              <w:spacing w:before="75" w:beforeAutospacing="0" w:after="75" w:afterAutospacing="0" w:line="0" w:lineRule="atLeast"/>
            </w:pPr>
            <w:r>
              <w:rPr>
                <w:color w:val="000000"/>
              </w:rPr>
              <w:t>1</w:t>
            </w:r>
            <w:r w:rsidR="00A8480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A84803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A11CDE" w14:paraId="1CFEDDB5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8ACF2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2FA5F7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 w:rsidR="00A11CDE" w14:paraId="75820CA3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8C2EA9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E6F54B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 xml:space="preserve">1. Evaluarea dosarului de concurs al candidatului de </w:t>
            </w: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lastRenderedPageBreak/>
              <w:t>către comisia de concurs și verificarea îndeplinirii standardelor minimale pentru ocuparea postului.</w:t>
            </w:r>
          </w:p>
          <w:p w14:paraId="1B5D074E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2. Evaluarea de către comisia de concurs a ședinței de lucrări practice susținute de candidat. Candidatul susţine un seminar/lucrare practică de minim 45 de minute, în prezenţa comisiei de concurs.</w:t>
            </w:r>
          </w:p>
          <w:p w14:paraId="5AEDF2A2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val="ro-RO" w:eastAsia="hu-HU"/>
              </w:rPr>
              <w:t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candidatului.</w:t>
            </w:r>
          </w:p>
        </w:tc>
      </w:tr>
      <w:tr w:rsidR="00A11CDE" w14:paraId="7821C261" w14:textId="77777777">
        <w:tc>
          <w:tcPr>
            <w:tcW w:w="4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BB69D" w14:textId="77777777" w:rsidR="00A11CDE" w:rsidRDefault="00000000">
            <w:pPr>
              <w:widowControl w:val="0"/>
              <w:spacing w:before="75" w:after="75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Lista documente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96001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cererea de înscriere la concurs, semnată de candidat, care include o declaraţie pe propria răspundere privind veridicitatea informaţiilor prezentate în dosar;</w:t>
            </w:r>
          </w:p>
          <w:p w14:paraId="2BB4DE55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propunere de dezvoltare a carierei universitare a candidatului atât din punct de vedere didactic, în cazul posturilor didactice, cât şi din punctul de vedere al activităţilor de cercetare ştiinţifică; propunerea se redactează de către candidat, cuprinde maximum 10 pagini şi este unul dintre principalele criterii de departajare a candidaţilor.</w:t>
            </w:r>
          </w:p>
          <w:p w14:paraId="54C21FCB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curriculum vitae al candidatului în format tipărit şi în format electronic;</w:t>
            </w:r>
          </w:p>
          <w:p w14:paraId="364AA270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lista de lucrări ale candidatului în format tipărit şi în format electronic;</w:t>
            </w:r>
          </w:p>
          <w:p w14:paraId="6846678B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fişa de verificare a îndeplinirii standardelor universităţii de prezentare la concurs, al cărei format standard este prevăzut de metodologia proprie. Fişa de verificare este completată şi semnată de către candidat;</w:t>
            </w:r>
          </w:p>
          <w:p w14:paraId="6FFF3CEC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diplomă de doctor sau documentul referitor la deţinerea statutului de student doctorand: adeverință în original eliberată de Școala Doctorală, în care să fie precizat anul de studii și anul înmatriculării la doctorat;</w:t>
            </w:r>
          </w:p>
          <w:p w14:paraId="2DD12C7C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declaraţie pe propria răspundere a candidatului în care indică situaţiile de incompatibilitate prevăzute de Legea nr. 1/2011 în care s-ar afla în cazul câştigării concursului sau lipsa acestor situaţii de incompatibilitate;</w:t>
            </w:r>
          </w:p>
          <w:p w14:paraId="4CA46989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copii ale altor diplome care atestă studiile candidatului;</w:t>
            </w:r>
          </w:p>
          <w:p w14:paraId="5A719A77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candidații la postul de asistent universitar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trebuie să anexeze documentul care dovedește pregătirea pedagogică;</w:t>
            </w:r>
          </w:p>
          <w:p w14:paraId="533F9E12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copia cărţii de identitate sau, în cazul în care candidatul nu are o carte de identitate, a paşaportului sau a unui alt document de identitate întocmit într-un scop echivalent cărţii de identitate ori paşaportului;</w:t>
            </w:r>
          </w:p>
          <w:p w14:paraId="4AA00662" w14:textId="77777777" w:rsidR="00A11CDE" w:rsidRDefault="00000000">
            <w:pPr>
              <w:pStyle w:val="ListParagraph"/>
              <w:widowControl w:val="0"/>
              <w:numPr>
                <w:ilvl w:val="0"/>
                <w:numId w:val="1"/>
              </w:numPr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în cazul în care candidatul şi-a schimbat numele, copii de pe documente care atestă schimbarea numelui: certificat de căsătorie sau dovada schimbării numelui;</w:t>
            </w:r>
          </w:p>
        </w:tc>
      </w:tr>
    </w:tbl>
    <w:p w14:paraId="422AE8D7" w14:textId="77777777" w:rsidR="00A11CDE" w:rsidRDefault="00A11CDE">
      <w:pPr>
        <w:rPr>
          <w:sz w:val="24"/>
          <w:szCs w:val="24"/>
        </w:rPr>
      </w:pPr>
    </w:p>
    <w:sectPr w:rsidR="00A11CDE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56F"/>
    <w:multiLevelType w:val="multilevel"/>
    <w:tmpl w:val="7C0A0A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930F8A"/>
    <w:multiLevelType w:val="multilevel"/>
    <w:tmpl w:val="8FC06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1480184">
    <w:abstractNumId w:val="0"/>
  </w:num>
  <w:num w:numId="2" w16cid:durableId="207442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DE"/>
    <w:rsid w:val="00A11CDE"/>
    <w:rsid w:val="00A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D669"/>
  <w15:docId w15:val="{37F02AFC-7C4C-4B60-8E56-149CB49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  <w:lang/>
    </w:rPr>
  </w:style>
  <w:style w:type="paragraph" w:styleId="NormalWeb">
    <w:name w:val="Normal (Web)"/>
    <w:basedOn w:val="Normal"/>
    <w:uiPriority w:val="99"/>
    <w:unhideWhenUsed/>
    <w:qFormat/>
    <w:rsid w:val="008E5D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E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Hangyál Enikő</dc:creator>
  <dc:description/>
  <cp:lastModifiedBy>Hosszú Gyula</cp:lastModifiedBy>
  <cp:revision>11</cp:revision>
  <cp:lastPrinted>2013-01-04T14:08:00Z</cp:lastPrinted>
  <dcterms:created xsi:type="dcterms:W3CDTF">2022-07-27T13:26:00Z</dcterms:created>
  <dcterms:modified xsi:type="dcterms:W3CDTF">2022-09-05T10:46:00Z</dcterms:modified>
  <dc:language>ro-RO</dc:language>
</cp:coreProperties>
</file>